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spacing w:line="360" w:lineRule="auto"/>
        <w:ind w:firstLine="482"/>
        <w:jc w:val="left"/>
        <w:rPr>
          <w:rFonts w:hint="eastAsia" w:ascii="仿宋" w:hAnsi="仿宋" w:eastAsia="仿宋" w:cs="仿宋"/>
          <w:b/>
          <w:bCs/>
          <w:color w:val="auto"/>
          <w:sz w:val="24"/>
        </w:rPr>
      </w:pPr>
      <w:r>
        <w:rPr>
          <w:rFonts w:hint="eastAsia" w:ascii="仿宋" w:hAnsi="仿宋" w:eastAsia="仿宋" w:cs="仿宋"/>
          <w:b/>
          <w:bCs/>
          <w:color w:val="auto"/>
          <w:sz w:val="24"/>
        </w:rPr>
        <w:t>一、项目概述</w:t>
      </w:r>
    </w:p>
    <w:p>
      <w:pPr>
        <w:pStyle w:val="2"/>
        <w:spacing w:line="360" w:lineRule="auto"/>
        <w:ind w:firstLine="480" w:firstLineChars="200"/>
        <w:jc w:val="both"/>
        <w:rPr>
          <w:rFonts w:hint="eastAsia" w:ascii="仿宋" w:hAnsi="仿宋" w:eastAsia="仿宋" w:cs="仿宋"/>
          <w:bCs w:val="0"/>
          <w:color w:val="auto"/>
          <w:sz w:val="24"/>
        </w:rPr>
      </w:pPr>
      <w:r>
        <w:rPr>
          <w:rFonts w:hint="eastAsia" w:ascii="仿宋" w:hAnsi="仿宋" w:eastAsia="仿宋" w:cs="仿宋"/>
          <w:bCs w:val="0"/>
          <w:color w:val="auto"/>
          <w:sz w:val="24"/>
        </w:rPr>
        <w:t>石牛湖院区污水处理站配备1台COD在线水质自动监测仪（卓正环保ZZ-1001型）、1台数据采集仪（K37A），为杜绝设备故障、数据异常、上传中断等问题，保障设备全年连续稳定运行，现需采购专业维保服务及设备专用耗材，包含设备日常巡检、故障维修、校准标定、系统维护、耗材更换、数据运维、应急保障等全部相关服务。</w:t>
      </w:r>
    </w:p>
    <w:p>
      <w:pPr>
        <w:pStyle w:val="2"/>
        <w:spacing w:line="360" w:lineRule="auto"/>
        <w:ind w:firstLine="480" w:firstLineChars="200"/>
        <w:rPr>
          <w:rFonts w:hint="eastAsia" w:ascii="仿宋" w:hAnsi="仿宋" w:eastAsia="仿宋" w:cs="仿宋"/>
          <w:bCs w:val="0"/>
          <w:color w:val="auto"/>
          <w:sz w:val="24"/>
        </w:rPr>
      </w:pPr>
      <w:r>
        <w:rPr>
          <w:rFonts w:hint="eastAsia" w:ascii="仿宋" w:hAnsi="仿宋" w:eastAsia="仿宋" w:cs="仿宋"/>
          <w:sz w:val="24"/>
        </w:rPr>
        <w:t>本项目是自贡市精</w:t>
      </w:r>
      <w:r>
        <w:rPr>
          <w:rFonts w:hint="eastAsia" w:ascii="仿宋" w:hAnsi="仿宋" w:eastAsia="仿宋" w:cs="仿宋"/>
          <w:color w:val="auto"/>
          <w:sz w:val="24"/>
        </w:rPr>
        <w:t>神卫生中心2026年COD在线监测系统维保服务。</w:t>
      </w:r>
      <w:r>
        <w:rPr>
          <w:rFonts w:hint="eastAsia" w:ascii="仿宋" w:hAnsi="仿宋" w:eastAsia="仿宋" w:cs="仿宋"/>
          <w:bCs w:val="0"/>
          <w:color w:val="auto"/>
          <w:sz w:val="24"/>
          <w:lang w:val="zh-CN"/>
        </w:rPr>
        <w:t>采购预算为</w:t>
      </w:r>
      <w:r>
        <w:rPr>
          <w:rFonts w:hint="eastAsia" w:ascii="仿宋" w:hAnsi="仿宋" w:eastAsia="仿宋" w:cs="仿宋"/>
          <w:bCs w:val="0"/>
          <w:color w:val="auto"/>
          <w:sz w:val="24"/>
          <w:lang w:val="en-US" w:eastAsia="zh-CN"/>
        </w:rPr>
        <w:t>29468</w:t>
      </w:r>
      <w:r>
        <w:rPr>
          <w:rFonts w:hint="eastAsia" w:ascii="仿宋" w:hAnsi="仿宋" w:eastAsia="仿宋" w:cs="仿宋"/>
          <w:bCs w:val="0"/>
          <w:color w:val="auto"/>
          <w:sz w:val="24"/>
          <w:lang w:val="zh-CN"/>
        </w:rPr>
        <w:t>元</w:t>
      </w:r>
      <w:r>
        <w:rPr>
          <w:rFonts w:hint="eastAsia" w:ascii="仿宋" w:hAnsi="仿宋" w:eastAsia="仿宋" w:cs="仿宋"/>
          <w:bCs w:val="0"/>
          <w:color w:val="auto"/>
          <w:sz w:val="24"/>
        </w:rPr>
        <w:t>。</w:t>
      </w:r>
    </w:p>
    <w:p>
      <w:pPr>
        <w:pStyle w:val="4"/>
        <w:spacing w:line="360" w:lineRule="auto"/>
        <w:ind w:firstLine="482"/>
        <w:jc w:val="left"/>
        <w:rPr>
          <w:rFonts w:hint="eastAsia" w:ascii="仿宋" w:hAnsi="仿宋" w:eastAsia="仿宋" w:cs="仿宋"/>
          <w:b/>
          <w:bCs/>
          <w:color w:val="auto"/>
          <w:sz w:val="24"/>
        </w:rPr>
      </w:pPr>
      <w:bookmarkStart w:id="0" w:name="_Toc18566"/>
      <w:r>
        <w:rPr>
          <w:rFonts w:hint="eastAsia" w:ascii="仿宋" w:hAnsi="仿宋" w:eastAsia="仿宋" w:cs="仿宋"/>
          <w:b/>
          <w:bCs/>
          <w:color w:val="auto"/>
          <w:sz w:val="24"/>
        </w:rPr>
        <w:t>二、采购内容及技术要求</w:t>
      </w:r>
      <w:bookmarkEnd w:id="0"/>
    </w:p>
    <w:p>
      <w:pPr>
        <w:spacing w:line="360" w:lineRule="auto"/>
        <w:ind w:firstLine="480" w:firstLineChars="200"/>
        <w:rPr>
          <w:rFonts w:hint="eastAsia" w:ascii="仿宋_GB2312" w:hAnsi="Times New Roman" w:eastAsia="仿宋_GB2312" w:cs="Times New Roman"/>
          <w:sz w:val="24"/>
          <w:lang w:val="en-US" w:eastAsia="zh-CN"/>
        </w:rPr>
      </w:pPr>
      <w:r>
        <w:rPr>
          <w:rFonts w:hint="eastAsia" w:ascii="仿宋_GB2312" w:hAnsi="Times New Roman" w:eastAsia="仿宋_GB2312" w:cs="Times New Roman"/>
          <w:sz w:val="24"/>
          <w:lang w:val="en-US" w:eastAsia="zh-CN"/>
        </w:rPr>
        <w:t>（一）设备维保服务内容</w:t>
      </w:r>
    </w:p>
    <w:p>
      <w:pPr>
        <w:spacing w:line="360" w:lineRule="auto"/>
        <w:ind w:firstLine="480" w:firstLineChars="200"/>
        <w:rPr>
          <w:rFonts w:hint="eastAsia" w:ascii="仿宋_GB2312" w:hAnsi="Times New Roman" w:eastAsia="仿宋_GB2312" w:cs="Times New Roman"/>
          <w:sz w:val="24"/>
          <w:lang w:val="en-US" w:eastAsia="zh-CN"/>
        </w:rPr>
      </w:pPr>
      <w:r>
        <w:rPr>
          <w:rFonts w:hint="eastAsia" w:ascii="仿宋_GB2312" w:hAnsi="Times New Roman" w:eastAsia="仿宋_GB2312" w:cs="Times New Roman"/>
          <w:sz w:val="24"/>
          <w:lang w:val="en-US" w:eastAsia="zh-CN"/>
        </w:rPr>
        <w:t>1.日常巡检维护：服务商需定期安排专业技术人员上门巡检，每周不少于1次，对COD在线监测设备、数据采集传输设备、管路线路等进行全面检查、清洁、调试、紧固，排查潜在故障隐患，做好巡检记录，建立完整设备运维台账（含电子运维台账）。</w:t>
      </w:r>
    </w:p>
    <w:p>
      <w:pPr>
        <w:spacing w:line="360" w:lineRule="auto"/>
        <w:ind w:firstLine="480" w:firstLineChars="200"/>
        <w:rPr>
          <w:rFonts w:hint="eastAsia" w:ascii="仿宋_GB2312" w:hAnsi="Times New Roman" w:eastAsia="仿宋_GB2312" w:cs="Times New Roman"/>
          <w:sz w:val="24"/>
          <w:lang w:val="en-US" w:eastAsia="zh-CN"/>
        </w:rPr>
      </w:pPr>
      <w:r>
        <w:rPr>
          <w:rFonts w:hint="eastAsia" w:ascii="仿宋_GB2312" w:hAnsi="Times New Roman" w:eastAsia="仿宋_GB2312" w:cs="Times New Roman"/>
          <w:sz w:val="24"/>
          <w:lang w:val="en-US" w:eastAsia="zh-CN"/>
        </w:rPr>
        <w:t>2.故障应急维修：设备出现数据异常、设备报警、停机、数据上传中断、监测数值偏差超标等故障时，服务商需接到报修通知后及时响应，2小时内到达现场处置，一般故障当日修复，重大故障48小时内完成修复，保障设备快速恢复正常运行。</w:t>
      </w:r>
    </w:p>
    <w:p>
      <w:pPr>
        <w:spacing w:line="360" w:lineRule="auto"/>
        <w:ind w:firstLine="480" w:firstLineChars="200"/>
        <w:rPr>
          <w:rFonts w:hint="eastAsia" w:ascii="仿宋_GB2312" w:hAnsi="Times New Roman" w:eastAsia="仿宋_GB2312" w:cs="Times New Roman"/>
          <w:sz w:val="24"/>
          <w:lang w:val="en-US" w:eastAsia="zh-CN"/>
        </w:rPr>
      </w:pPr>
      <w:r>
        <w:rPr>
          <w:rFonts w:hint="eastAsia" w:ascii="仿宋_GB2312" w:hAnsi="Times New Roman" w:eastAsia="仿宋_GB2312" w:cs="Times New Roman"/>
          <w:sz w:val="24"/>
          <w:lang w:val="en-US" w:eastAsia="zh-CN"/>
        </w:rPr>
        <w:t>3.设备校准标定：严格按照国家环保监测相关标准，定期对COD在线监测设备进行零点、量程校准、线性校验，每季度至少1次，确保设备监测数据精准、有效、合规。</w:t>
      </w:r>
    </w:p>
    <w:p>
      <w:pPr>
        <w:spacing w:line="360" w:lineRule="auto"/>
        <w:ind w:firstLine="480" w:firstLineChars="200"/>
        <w:rPr>
          <w:rFonts w:hint="eastAsia" w:ascii="仿宋_GB2312" w:hAnsi="Times New Roman" w:eastAsia="仿宋_GB2312" w:cs="Times New Roman"/>
          <w:sz w:val="24"/>
          <w:lang w:val="en-US" w:eastAsia="zh-CN"/>
        </w:rPr>
      </w:pPr>
      <w:r>
        <w:rPr>
          <w:rFonts w:hint="eastAsia" w:ascii="仿宋_GB2312" w:hAnsi="Times New Roman" w:eastAsia="仿宋_GB2312" w:cs="Times New Roman"/>
          <w:sz w:val="24"/>
          <w:lang w:val="en-US" w:eastAsia="zh-CN"/>
        </w:rPr>
        <w:t>4.系统运维保障：负责监测设备软件系统、数据采集传输系统的日常维护、参数优化、故障排查，保障监测数据实时、稳定、准确上传至生态环境监管平台，杜绝数据断传、误传、漏传等情况。</w:t>
      </w:r>
    </w:p>
    <w:p>
      <w:pPr>
        <w:spacing w:line="360" w:lineRule="auto"/>
        <w:ind w:firstLine="480" w:firstLineChars="200"/>
        <w:rPr>
          <w:rFonts w:hint="eastAsia" w:ascii="仿宋_GB2312" w:hAnsi="Times New Roman" w:eastAsia="仿宋_GB2312" w:cs="Times New Roman"/>
          <w:sz w:val="24"/>
          <w:lang w:val="en-US" w:eastAsia="zh-CN"/>
        </w:rPr>
      </w:pPr>
      <w:r>
        <w:rPr>
          <w:rFonts w:hint="eastAsia" w:ascii="仿宋_GB2312" w:hAnsi="Times New Roman" w:eastAsia="仿宋_GB2312" w:cs="Times New Roman"/>
          <w:sz w:val="24"/>
          <w:lang w:val="en-US" w:eastAsia="zh-CN"/>
        </w:rPr>
        <w:t>5.台账及资料管理：全程建立规范化运维台账，详细记录巡检、维修、校准、耗材更换、故障处理等信息，定期整理归档，配合我院及环保部门各项检查、核查、验收工作，按需提供全套运维资料。</w:t>
      </w:r>
    </w:p>
    <w:p>
      <w:pPr>
        <w:spacing w:line="360" w:lineRule="auto"/>
        <w:ind w:firstLine="480" w:firstLineChars="200"/>
        <w:rPr>
          <w:rFonts w:hint="eastAsia" w:ascii="仿宋_GB2312" w:hAnsi="Times New Roman" w:eastAsia="仿宋_GB2312" w:cs="Times New Roman"/>
          <w:sz w:val="24"/>
          <w:lang w:val="en-US" w:eastAsia="zh-CN"/>
        </w:rPr>
      </w:pPr>
      <w:r>
        <w:rPr>
          <w:rFonts w:hint="eastAsia" w:ascii="仿宋_GB2312" w:hAnsi="Times New Roman" w:eastAsia="仿宋_GB2312" w:cs="Times New Roman"/>
          <w:sz w:val="24"/>
          <w:lang w:val="en-US" w:eastAsia="zh-CN"/>
        </w:rPr>
        <w:t>6.技术培训支持：免费为我院污水处理管理人员提供设备日常操作、基础排查、简单故障处理、日常维护注意事项等技术培训，提升院内人员设备管理能力。</w:t>
      </w:r>
    </w:p>
    <w:p>
      <w:pPr>
        <w:spacing w:line="360" w:lineRule="auto"/>
        <w:ind w:firstLine="480" w:firstLineChars="200"/>
        <w:rPr>
          <w:rFonts w:hint="eastAsia" w:ascii="仿宋_GB2312" w:hAnsi="Times New Roman" w:eastAsia="仿宋_GB2312" w:cs="Times New Roman"/>
          <w:sz w:val="24"/>
          <w:lang w:val="en-US" w:eastAsia="zh-CN"/>
        </w:rPr>
      </w:pPr>
      <w:r>
        <w:rPr>
          <w:rFonts w:hint="eastAsia" w:ascii="仿宋_GB2312" w:hAnsi="Times New Roman" w:eastAsia="仿宋_GB2312" w:cs="Times New Roman"/>
          <w:sz w:val="24"/>
          <w:lang w:val="en-US" w:eastAsia="zh-CN"/>
        </w:rPr>
        <w:t>（二）耗材采购内容</w:t>
      </w:r>
    </w:p>
    <w:p>
      <w:pPr>
        <w:spacing w:line="360" w:lineRule="auto"/>
        <w:ind w:firstLine="480" w:firstLineChars="200"/>
        <w:rPr>
          <w:rFonts w:hint="eastAsia" w:ascii="仿宋_GB2312" w:hAnsi="Times New Roman" w:eastAsia="仿宋_GB2312" w:cs="Times New Roman"/>
          <w:sz w:val="24"/>
          <w:lang w:val="en-US" w:eastAsia="zh-CN"/>
        </w:rPr>
      </w:pPr>
      <w:r>
        <w:rPr>
          <w:rFonts w:hint="eastAsia" w:ascii="仿宋_GB2312" w:hAnsi="Times New Roman" w:eastAsia="仿宋_GB2312" w:cs="Times New Roman"/>
          <w:sz w:val="24"/>
          <w:lang w:val="en-US" w:eastAsia="zh-CN"/>
        </w:rPr>
        <w:t>提供适配我院现有COD在线监测设备的全套原装/兼容合格耗材，包含但不限于：监测试剂、消解试剂、校准液、核查液、滤膜、滤芯、采样管路、密封圈、毛细管、蠕动泵管、电磁阀、喇叭口、加热丝、电极、传感器配件等设备常规损耗配件及耗材。所有耗材需符合国家环保监测设备技术标准，质量合格、无杂质、无变质，适配设备型号，保障监测数据稳定性。耗材根据设备运行损耗按需更换、按需供货，确保耗材充足、及时补给。</w:t>
      </w:r>
    </w:p>
    <w:p>
      <w:pPr>
        <w:spacing w:line="360" w:lineRule="auto"/>
        <w:rPr>
          <w:rFonts w:hint="eastAsia" w:ascii="仿宋" w:hAnsi="仿宋" w:eastAsia="仿宋" w:cs="仿宋"/>
          <w:b/>
          <w:bCs/>
          <w:color w:val="auto"/>
          <w:sz w:val="24"/>
        </w:rPr>
      </w:pPr>
      <w:r>
        <w:rPr>
          <w:rFonts w:hint="eastAsia" w:ascii="仿宋" w:hAnsi="仿宋" w:eastAsia="仿宋" w:cs="仿宋"/>
          <w:b/>
          <w:bCs/>
          <w:color w:val="auto"/>
          <w:kern w:val="2"/>
          <w:sz w:val="24"/>
          <w:szCs w:val="24"/>
          <w:lang w:val="en-US" w:eastAsia="zh-CN" w:bidi="ar-SA"/>
        </w:rPr>
        <w:t>三、服务要求</w:t>
      </w:r>
      <w:r>
        <w:rPr>
          <w:rFonts w:hint="eastAsia" w:ascii="仿宋" w:hAnsi="仿宋" w:eastAsia="仿宋" w:cs="仿宋"/>
          <w:b/>
          <w:bCs/>
          <w:color w:val="auto"/>
          <w:sz w:val="24"/>
        </w:rPr>
        <w:t>（实质性要求）</w:t>
      </w:r>
    </w:p>
    <w:p>
      <w:pPr>
        <w:spacing w:line="360" w:lineRule="auto"/>
        <w:ind w:firstLine="240" w:firstLineChars="100"/>
        <w:rPr>
          <w:rFonts w:hint="eastAsia" w:ascii="仿宋_GB2312" w:eastAsia="仿宋_GB2312"/>
          <w:sz w:val="24"/>
        </w:rPr>
      </w:pPr>
      <w:r>
        <w:rPr>
          <w:rFonts w:hint="eastAsia" w:ascii="仿宋_GB2312" w:eastAsia="仿宋_GB2312"/>
          <w:sz w:val="24"/>
        </w:rPr>
        <w:t xml:space="preserve">  1. 设备全年正常运行率不低于98%，监测数据有效上传率符合生态环境部门标准；</w:t>
      </w:r>
    </w:p>
    <w:p>
      <w:pPr>
        <w:spacing w:line="360" w:lineRule="auto"/>
        <w:ind w:firstLine="480" w:firstLineChars="200"/>
        <w:rPr>
          <w:rFonts w:ascii="仿宋_GB2312" w:eastAsia="仿宋_GB2312"/>
          <w:sz w:val="24"/>
        </w:rPr>
      </w:pPr>
      <w:r>
        <w:rPr>
          <w:rFonts w:hint="eastAsia" w:ascii="仿宋_GB2312" w:eastAsia="仿宋_GB2312"/>
          <w:sz w:val="24"/>
        </w:rPr>
        <w:t>2. 所有维保操作、校准流程严格遵循国家环境保护局第28号令《污染源自动监控管理办法》、《水污染源在线监测系统（CODCr、NH3-N等）运行技术规范》（HJ 355-2019）等国家相关标准。</w:t>
      </w:r>
    </w:p>
    <w:p>
      <w:pPr>
        <w:spacing w:line="360" w:lineRule="auto"/>
        <w:rPr>
          <w:rFonts w:hint="eastAsia" w:ascii="仿宋" w:hAnsi="仿宋" w:eastAsia="仿宋" w:cs="仿宋"/>
          <w:b/>
          <w:bCs/>
          <w:color w:val="auto"/>
          <w:sz w:val="24"/>
        </w:rPr>
      </w:pPr>
      <w:r>
        <w:rPr>
          <w:rFonts w:hint="eastAsia" w:ascii="仿宋" w:hAnsi="仿宋" w:eastAsia="仿宋" w:cs="仿宋"/>
          <w:b/>
          <w:bCs/>
          <w:color w:val="auto"/>
          <w:sz w:val="24"/>
          <w:lang w:val="en-US" w:eastAsia="zh-CN"/>
        </w:rPr>
        <w:t>四</w:t>
      </w:r>
      <w:r>
        <w:rPr>
          <w:rFonts w:hint="eastAsia" w:ascii="仿宋" w:hAnsi="仿宋" w:eastAsia="仿宋" w:cs="仿宋"/>
          <w:b/>
          <w:bCs/>
          <w:color w:val="auto"/>
          <w:sz w:val="24"/>
        </w:rPr>
        <w:t>、商务要求（实质性要求）</w:t>
      </w:r>
    </w:p>
    <w:p>
      <w:pPr>
        <w:spacing w:line="360" w:lineRule="auto"/>
        <w:ind w:firstLine="480" w:firstLineChars="200"/>
        <w:rPr>
          <w:rFonts w:ascii="仿宋" w:hAnsi="仿宋" w:eastAsia="仿宋" w:cs="仿宋"/>
          <w:color w:val="000000" w:themeColor="text1"/>
          <w:sz w:val="24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sz w:val="24"/>
          <w:szCs w:val="28"/>
        </w:rPr>
        <w:t>1、</w:t>
      </w:r>
      <w:r>
        <w:rPr>
          <w:rFonts w:hint="eastAsia" w:ascii="仿宋" w:hAnsi="仿宋" w:eastAsia="仿宋" w:cs="仿宋"/>
          <w:color w:val="000000" w:themeColor="text1"/>
          <w:sz w:val="24"/>
          <w:szCs w:val="28"/>
          <w14:textFill>
            <w14:solidFill>
              <w14:schemeClr w14:val="tx1"/>
            </w14:solidFill>
          </w14:textFill>
        </w:rPr>
        <w:t>签订合同日期：成交通知书发出之日起</w:t>
      </w:r>
      <w:r>
        <w:rPr>
          <w:rFonts w:hint="eastAsia" w:ascii="仿宋" w:hAnsi="仿宋" w:eastAsia="仿宋" w:cs="仿宋"/>
          <w:color w:val="000000" w:themeColor="text1"/>
          <w:sz w:val="24"/>
          <w:szCs w:val="28"/>
          <w:lang w:val="en-US" w:eastAsia="zh-CN"/>
          <w14:textFill>
            <w14:solidFill>
              <w14:schemeClr w14:val="tx1"/>
            </w14:solidFill>
          </w14:textFill>
        </w:rPr>
        <w:t>30</w:t>
      </w:r>
      <w:r>
        <w:rPr>
          <w:rFonts w:hint="eastAsia" w:ascii="仿宋" w:hAnsi="仿宋" w:eastAsia="仿宋" w:cs="仿宋"/>
          <w:color w:val="000000" w:themeColor="text1"/>
          <w:sz w:val="24"/>
          <w:szCs w:val="28"/>
          <w14:textFill>
            <w14:solidFill>
              <w14:schemeClr w14:val="tx1"/>
            </w14:solidFill>
          </w14:textFill>
        </w:rPr>
        <w:t xml:space="preserve">日内签订合同。 </w:t>
      </w:r>
      <w:bookmarkStart w:id="1" w:name="_GoBack"/>
      <w:bookmarkEnd w:id="1"/>
    </w:p>
    <w:p>
      <w:pPr>
        <w:spacing w:line="360" w:lineRule="auto"/>
        <w:ind w:firstLine="480" w:firstLineChars="200"/>
        <w:rPr>
          <w:rFonts w:ascii="仿宋" w:hAnsi="仿宋" w:eastAsia="仿宋" w:cs="仿宋"/>
          <w:sz w:val="24"/>
          <w:szCs w:val="28"/>
        </w:rPr>
      </w:pPr>
      <w:r>
        <w:rPr>
          <w:rFonts w:hint="eastAsia" w:ascii="仿宋" w:hAnsi="仿宋" w:eastAsia="仿宋" w:cs="仿宋"/>
          <w:color w:val="000000" w:themeColor="text1"/>
          <w:sz w:val="24"/>
          <w:szCs w:val="28"/>
          <w14:textFill>
            <w14:solidFill>
              <w14:schemeClr w14:val="tx1"/>
            </w14:solidFill>
          </w14:textFill>
        </w:rPr>
        <w:t>2、</w:t>
      </w:r>
      <w:r>
        <w:rPr>
          <w:rFonts w:hint="eastAsia" w:ascii="仿宋" w:hAnsi="仿宋" w:eastAsia="仿宋" w:cs="仿宋"/>
          <w:color w:val="000000" w:themeColor="text1"/>
          <w:sz w:val="24"/>
          <w:szCs w:val="28"/>
          <w:lang w:val="en-US" w:eastAsia="zh-CN"/>
          <w14:textFill>
            <w14:solidFill>
              <w14:schemeClr w14:val="tx1"/>
            </w14:solidFill>
          </w14:textFill>
        </w:rPr>
        <w:t>服务周期</w:t>
      </w:r>
      <w:r>
        <w:rPr>
          <w:rFonts w:hint="eastAsia" w:ascii="仿宋" w:hAnsi="仿宋" w:eastAsia="仿宋" w:cs="仿宋"/>
          <w:color w:val="000000" w:themeColor="text1"/>
          <w:sz w:val="24"/>
          <w:szCs w:val="28"/>
          <w14:textFill>
            <w14:solidFill>
              <w14:schemeClr w14:val="tx1"/>
            </w14:solidFill>
          </w14:textFill>
        </w:rPr>
        <w:t>：签订合同后</w:t>
      </w:r>
      <w:r>
        <w:rPr>
          <w:rFonts w:hint="eastAsia" w:ascii="仿宋" w:hAnsi="仿宋" w:eastAsia="仿宋" w:cs="仿宋"/>
          <w:color w:val="000000" w:themeColor="text1"/>
          <w:sz w:val="24"/>
          <w:szCs w:val="28"/>
          <w:u w:val="single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仿宋" w:hAnsi="仿宋" w:eastAsia="仿宋" w:cs="仿宋"/>
          <w:color w:val="000000" w:themeColor="text1"/>
          <w:sz w:val="24"/>
          <w:szCs w:val="28"/>
          <w:u w:val="none"/>
          <w:lang w:val="en-US" w:eastAsia="zh-CN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仿宋" w:hAnsi="仿宋" w:eastAsia="仿宋" w:cs="仿宋"/>
          <w:sz w:val="24"/>
          <w:szCs w:val="28"/>
        </w:rPr>
        <w:t>。</w:t>
      </w:r>
    </w:p>
    <w:p>
      <w:pPr>
        <w:spacing w:line="360" w:lineRule="auto"/>
        <w:ind w:firstLine="480" w:firstLineChars="200"/>
        <w:rPr>
          <w:rFonts w:ascii="仿宋" w:hAnsi="仿宋" w:eastAsia="仿宋" w:cs="仿宋"/>
          <w:sz w:val="24"/>
          <w:szCs w:val="28"/>
        </w:rPr>
      </w:pPr>
      <w:r>
        <w:rPr>
          <w:rFonts w:hint="eastAsia" w:ascii="仿宋" w:hAnsi="仿宋" w:eastAsia="仿宋" w:cs="仿宋"/>
          <w:sz w:val="24"/>
          <w:szCs w:val="28"/>
        </w:rPr>
        <w:t>3、履约地点：</w:t>
      </w:r>
      <w:r>
        <w:rPr>
          <w:rFonts w:hint="eastAsia" w:ascii="仿宋" w:hAnsi="仿宋" w:eastAsia="仿宋" w:cs="仿宋"/>
          <w:sz w:val="24"/>
          <w:szCs w:val="28"/>
          <w:lang w:val="en-US" w:eastAsia="zh-CN"/>
        </w:rPr>
        <w:t>自贡市贡井区贡舒路2段666号</w:t>
      </w:r>
      <w:r>
        <w:rPr>
          <w:rFonts w:hint="eastAsia" w:ascii="仿宋" w:hAnsi="仿宋" w:eastAsia="仿宋" w:cs="仿宋"/>
          <w:sz w:val="24"/>
          <w:szCs w:val="28"/>
        </w:rPr>
        <w:t xml:space="preserve">。 </w:t>
      </w:r>
    </w:p>
    <w:p>
      <w:pPr>
        <w:spacing w:line="360" w:lineRule="auto"/>
        <w:ind w:firstLine="480" w:firstLineChars="200"/>
        <w:rPr>
          <w:rFonts w:hint="eastAsia" w:ascii="仿宋" w:hAnsi="仿宋" w:eastAsia="仿宋" w:cs="仿宋"/>
          <w:color w:val="auto"/>
          <w:sz w:val="24"/>
          <w:szCs w:val="28"/>
        </w:rPr>
      </w:pPr>
      <w:r>
        <w:rPr>
          <w:rFonts w:hint="eastAsia" w:ascii="仿宋" w:hAnsi="仿宋" w:eastAsia="仿宋" w:cs="仿宋"/>
          <w:color w:val="auto"/>
          <w:sz w:val="24"/>
          <w:szCs w:val="28"/>
        </w:rPr>
        <w:t>4、付款方式：</w:t>
      </w:r>
      <w:r>
        <w:rPr>
          <w:rFonts w:hint="eastAsia" w:ascii="仿宋" w:hAnsi="仿宋" w:eastAsia="仿宋" w:cs="仿宋"/>
          <w:color w:val="auto"/>
          <w:sz w:val="24"/>
          <w:szCs w:val="28"/>
          <w:lang w:val="en-US" w:eastAsia="zh-CN"/>
        </w:rPr>
        <w:t>服务期满半年后支付合同总金额的50.00%，合同结束后一次性支付剩余合同款50.00%。付款前，乙方应当向甲方出具有效发票。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ms Rmn">
    <w:altName w:val="Segoe Print"/>
    <w:panose1 w:val="02020603040505020304"/>
    <w:charset w:val="00"/>
    <w:family w:val="roman"/>
    <w:pitch w:val="default"/>
    <w:sig w:usb0="00000000" w:usb1="00000000" w:usb2="00000000" w:usb3="00000000" w:csb0="0000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4950271"/>
    <w:rsid w:val="054F64D5"/>
    <w:rsid w:val="0BF815CE"/>
    <w:rsid w:val="10461EAA"/>
    <w:rsid w:val="121F0548"/>
    <w:rsid w:val="15D542F0"/>
    <w:rsid w:val="16A357CF"/>
    <w:rsid w:val="18503462"/>
    <w:rsid w:val="1BB0027C"/>
    <w:rsid w:val="22F52CEF"/>
    <w:rsid w:val="25D76F35"/>
    <w:rsid w:val="26C03881"/>
    <w:rsid w:val="2F740E97"/>
    <w:rsid w:val="34950271"/>
    <w:rsid w:val="37B25C6C"/>
    <w:rsid w:val="389C19FE"/>
    <w:rsid w:val="4A27795D"/>
    <w:rsid w:val="4E6D1B13"/>
    <w:rsid w:val="52686812"/>
    <w:rsid w:val="553C61F3"/>
    <w:rsid w:val="5B484B29"/>
    <w:rsid w:val="5C453324"/>
    <w:rsid w:val="69920441"/>
    <w:rsid w:val="6EC306F9"/>
    <w:rsid w:val="76BC2659"/>
    <w:rsid w:val="773109EF"/>
    <w:rsid w:val="7B6B2B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qFormat="1" w:unhideWhenUsed="0" w:uiPriority="99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jc w:val="left"/>
    </w:pPr>
    <w:rPr>
      <w:bCs/>
      <w:sz w:val="18"/>
    </w:rPr>
  </w:style>
  <w:style w:type="paragraph" w:styleId="3">
    <w:name w:val="Body Text First Indent"/>
    <w:basedOn w:val="2"/>
    <w:unhideWhenUsed/>
    <w:qFormat/>
    <w:uiPriority w:val="99"/>
    <w:pPr>
      <w:ind w:firstLine="420" w:firstLineChars="100"/>
    </w:pPr>
  </w:style>
  <w:style w:type="paragraph" w:styleId="4">
    <w:name w:val="Normal Indent"/>
    <w:basedOn w:val="1"/>
    <w:next w:val="1"/>
    <w:qFormat/>
    <w:uiPriority w:val="0"/>
    <w:pPr>
      <w:ind w:firstLine="420" w:firstLineChars="200"/>
    </w:pPr>
  </w:style>
  <w:style w:type="paragraph" w:styleId="5">
    <w:name w:val="index 5"/>
    <w:basedOn w:val="1"/>
    <w:next w:val="1"/>
    <w:qFormat/>
    <w:uiPriority w:val="99"/>
    <w:pPr>
      <w:ind w:left="1680"/>
    </w:pPr>
    <w:rPr>
      <w:szCs w:val="22"/>
    </w:rPr>
  </w:style>
  <w:style w:type="paragraph" w:styleId="6">
    <w:name w:val="Plain Text"/>
    <w:basedOn w:val="1"/>
    <w:next w:val="4"/>
    <w:qFormat/>
    <w:uiPriority w:val="0"/>
    <w:pPr>
      <w:autoSpaceDE w:val="0"/>
      <w:autoSpaceDN w:val="0"/>
      <w:adjustRightInd w:val="0"/>
    </w:pPr>
    <w:rPr>
      <w:rFonts w:ascii="宋体" w:hAnsi="Tms Rmn"/>
      <w:kern w:val="0"/>
      <w:szCs w:val="20"/>
    </w:rPr>
  </w:style>
  <w:style w:type="paragraph" w:customStyle="1" w:styleId="9">
    <w:name w:val="null3"/>
    <w:qFormat/>
    <w:uiPriority w:val="0"/>
    <w:rPr>
      <w:rFonts w:hint="eastAsia" w:ascii="Calibri" w:hAnsi="Calibri" w:eastAsia="宋体" w:cs="Times New Roman"/>
      <w:lang w:val="en-US" w:eastAsia="zh-Hans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Office_11.8.6.11719_F1E327BC-269C-435d-A152-05C5408002CA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2025-06-23T01:06:00Z</dcterms:created>
  <dc:creator>HDY</dc:creator>
  <cp:lastModifiedBy>宸辰</cp:lastModifiedBy>
  <dcterms:modified xsi:type="dcterms:W3CDTF">2026-07-13T01:43:40Z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2052-11.8.6.11719</vt:lpwstr>
  </property>
  <property fmtid="{D5CDD505-2E9C-101B-9397-08002B2CF9AE}" pid="3" name="ICV">
    <vt:lpwstr>3232A4F2D2524BEFADE6623881CFF829</vt:lpwstr>
  </property>
</Properties>
</file>